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Streetworks: Norwood2TulseHill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Steering Group meeting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Tuesday 8 September 2015 (2.00pm)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Old Library, 14-16 Knights Hill, SE27 0HY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Members: </w:t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Norwood Forum:  Noshir Patel (NP) and Jan Ware (JW)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Tulse Hill Forum: Margaret Pierre-Jarrett (MPJ) and Erica Tate (ET)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Transport for London (TfL): Simon Mouncey (SM)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Landolt &amp; Brown: Adam Brown (ABr)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Lambeth Councillors: </w:t>
        <w:tab/>
        <w:t xml:space="preserve">Mary Atkins (MA), Anna Birley (ABi) and Jackie Meldrum (JM)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Lambeth Council officers: Abu Barkatoolah (ABa) and Sarah Coyte (SC)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Support officers: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Lambeth Council: Saleem Patel, Andrea Stewart (AS) and Jean Taylor (JT)</w:t>
      </w:r>
    </w:p>
    <w:p w:rsidR="00000000" w:rsidDel="00000000" w:rsidP="00000000" w:rsidRDefault="00000000" w:rsidRPr="00000000">
      <w:pPr>
        <w:ind w:left="1440" w:hanging="144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Community: Tim Stephens (Admin.) (TJS) and Georgina Wilson (Outreach) (GW)</w:t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Minutes/actions (18.08.15) </w:t>
      </w:r>
      <w:r w:rsidDel="00000000" w:rsidR="00000000" w:rsidRPr="00000000">
        <w:rPr>
          <w:rFonts w:ascii="Arial" w:cs="Arial" w:eastAsia="Arial" w:hAnsi="Arial"/>
          <w:rtl w:val="0"/>
        </w:rPr>
        <w:t xml:space="preserve">(attached)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contextualSpacing w:val="1"/>
        <w:jc w:val="both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Community engagement plan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2"/>
          <w:szCs w:val="22"/>
          <w:rtl w:val="0"/>
        </w:rPr>
        <w:t xml:space="preserve"> (GW) (to be tabled)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contextualSpacing w:val="1"/>
        <w:jc w:val="both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Website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2"/>
          <w:szCs w:val="22"/>
          <w:rtl w:val="0"/>
        </w:rPr>
        <w:t xml:space="preserve"> (ABi and GW)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contextualSpacing w:val="1"/>
        <w:jc w:val="both"/>
        <w:rPr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Engagement Bids/ Activities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(SC)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Project Programme (high level) and scope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(ABa and ABr) (To follow)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Project: Local Resourcing </w:t>
      </w:r>
      <w:r w:rsidDel="00000000" w:rsidR="00000000" w:rsidRPr="00000000">
        <w:rPr>
          <w:rFonts w:ascii="Arial" w:cs="Arial" w:eastAsia="Arial" w:hAnsi="Arial"/>
          <w:rtl w:val="0"/>
        </w:rPr>
        <w:t xml:space="preserve">(ABa)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spacing w:after="0" w:before="0" w:line="276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Evaluation Framework Update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(ABa) (attached)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40"/>
        </w:tabs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spacing w:after="0" w:before="0" w:line="276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Apprenticeship/ School participation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(ABr, ABi and JM)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spacing w:after="0" w:before="0" w:line="276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Approvals process for expenditure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(ABa)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spacing w:after="0" w:before="0" w:line="276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Risks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(ABa) (To follow)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540"/>
        </w:tabs>
        <w:spacing w:after="200" w:before="0" w:line="276" w:lineRule="auto"/>
        <w:ind w:left="36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Date of next meeting: Tuesday 22 September (2pm) at The Old Library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200" w:before="0" w:line="276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708" w:before="0" w:line="276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ascii="Arial" w:cs="Arial" w:eastAsia="Arial" w:hAnsi="Arial"/>
        <w:b w:val="1"/>
      </w:rPr>
    </w:lvl>
    <w:lvl w:ilvl="1">
      <w:start w:val="1"/>
      <w:numFmt w:val="bullet"/>
      <w:lvlText w:val="➢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